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0" w:after="80"/>
      </w:pPr>
      <w:r>
        <w:rPr>
          <w:rFonts w:ascii="Arial" w:cs="Arial" w:eastAsia="Arial" w:hAnsi="Arial"/>
          <w:b/>
          <w:bCs/>
          <w:color w:val="0F6E56"/>
          <w:sz w:val="52"/>
          <w:szCs w:val="52"/>
        </w:rPr>
        <w:t xml:space="preserve">The Sci-Tech Year (STY)</w:t>
      </w:r>
    </w:p>
    <w:p>
      <w:pPr>
        <w:spacing w:before="0" w:after="80"/>
      </w:pPr>
      <w:r>
        <w:rPr>
          <w:rFonts w:ascii="Arial" w:cs="Arial" w:eastAsia="Arial" w:hAnsi="Arial"/>
          <w:color w:val="3C3489"/>
          <w:sz w:val="28"/>
          <w:szCs w:val="28"/>
        </w:rPr>
        <w:t xml:space="preserve">A Proposed Annual Calendar for Science &amp; Technology — March to February</w:t>
      </w:r>
    </w:p>
    <w:p>
      <w:pPr>
        <w:spacing w:before="0" w:after="40"/>
      </w:pPr>
      <w:r>
        <w:rPr>
          <w:rFonts w:ascii="Arial" w:cs="Arial" w:eastAsia="Arial" w:hAnsi="Arial"/>
          <w:i/>
          <w:iCs/>
          <w:color w:val="888780"/>
          <w:sz w:val="22"/>
          <w:szCs w:val="22"/>
        </w:rPr>
        <w:t xml:space="preserve">First articulated: 26 March 2026  ·  Bengaluru, Karnataka, India</w:t>
      </w:r>
    </w:p>
    <w:p>
      <w:pPr>
        <w:spacing w:before="0" w:after="40"/>
      </w:pPr>
      <w:r>
        <w:rPr>
          <w:rFonts w:ascii="Arial" w:cs="Arial" w:eastAsia="Arial" w:hAnsi="Arial"/>
          <w:color w:val="888780"/>
          <w:sz w:val="22"/>
          <w:szCs w:val="22"/>
        </w:rPr>
        <w:t xml:space="preserve">Author: </w:t>
      </w:r>
      <w:hyperlink w:history="1" r:id="rIdf9eepjnbtil2uhzwwv57j">
        <w:r>
          <w:rPr>
            <w:rFonts w:ascii="Arial" w:cs="Arial" w:eastAsia="Arial" w:hAnsi="Arial"/>
            <w:color w:val="185FA5"/>
            <w:sz w:val="24"/>
            <w:szCs w:val="24"/>
            <w:u w:val="single"/>
          </w:rPr>
          <w:t xml:space="preserve">Guru Prasad Gajendran</w:t>
        </w:r>
      </w:hyperlink>
    </w:p>
    <w:p>
      <w:pPr>
        <w:spacing w:before="0" w:after="240"/>
      </w:pPr>
      <w:r>
        <w:rPr>
          <w:rFonts w:ascii="Arial" w:cs="Arial" w:eastAsia="Arial" w:hAnsi="Arial"/>
          <w:color w:val="888780"/>
          <w:sz w:val="22"/>
          <w:szCs w:val="22"/>
        </w:rPr>
        <w:t xml:space="preserve">Canonical post: </w:t>
      </w:r>
      <w:hyperlink w:history="1" r:id="rIdo7vgoom9gbtf4ptuj-a8b">
        <w:r>
          <w:rPr>
            <w:rFonts w:ascii="Arial" w:cs="Arial" w:eastAsia="Arial" w:hAnsi="Arial"/>
            <w:color w:val="185FA5"/>
            <w:sz w:val="24"/>
            <w:szCs w:val="24"/>
            <w:u w:val="single"/>
          </w:rPr>
          <w:t xml:space="preserve">grpvcare2dare.design.blog — S1604: The Sci-Tech Year</w:t>
        </w:r>
      </w:hyperlink>
    </w:p>
    <w:p>
      <w:pPr>
        <w:pBdr>
          <w:bottom w:val="single" w:color="9FE1CB" w:sz="6" w:space="1"/>
        </w:pBdr>
        <w:spacing w:before="200" w:after="200"/>
      </w:pPr>
    </w:p>
    <w:p>
      <w:pPr>
        <w:pStyle w:val="Heading2"/>
        <w:spacing w:before="240" w:after="120"/>
      </w:pPr>
      <w:r>
        <w:rPr>
          <w:rFonts w:ascii="Arial" w:cs="Arial" w:eastAsia="Arial" w:hAnsi="Arial"/>
          <w:b/>
          <w:bCs/>
          <w:color w:val="0F6E56"/>
          <w:sz w:val="28"/>
          <w:szCs w:val="28"/>
        </w:rPr>
        <w:t xml:space="preserve">Origin Record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c>
          <w:tcPr>
            <w:tcW w:type="dxa" w:w="2200"/>
            <w:tcBorders>
              <w:top w:val="single" w:color="9FE1CB" w:sz="1"/>
              <w:left w:val="single" w:color="9FE1CB" w:sz="1"/>
              <w:bottom w:val="single" w:color="9FE1CB" w:sz="1"/>
              <w:right w:val="single" w:color="9FE1CB" w:sz="1"/>
            </w:tcBorders>
            <w:shd w:fill="E1F5EE" w:val="clear"/>
            <w:tcMar>
              <w:top w:type="dxa" w:w="80"/>
              <w:left w:type="dxa" w:w="120"/>
              <w:bottom w:type="dxa" w:w="80"/>
              <w:right w:type="dxa" w:w="120"/>
            </w:tcMar>
          </w:tcPr>
          <w:p>
            <w:r>
              <w:rPr>
                <w:rFonts w:ascii="Arial" w:cs="Arial" w:eastAsia="Arial" w:hAnsi="Arial"/>
                <w:b/>
                <w:bCs/>
                <w:color w:val="0F6E56"/>
                <w:sz w:val="22"/>
                <w:szCs w:val="22"/>
              </w:rPr>
              <w:t xml:space="preserve">Concept</w:t>
            </w:r>
          </w:p>
        </w:tc>
        <w:tc>
          <w:tcPr>
            <w:tcW w:type="dxa" w:w="7160"/>
            <w:tcBorders>
              <w:top w:val="single" w:color="9FE1CB" w:sz="1"/>
              <w:left w:val="single" w:color="9FE1CB" w:sz="1"/>
              <w:bottom w:val="single" w:color="9FE1CB" w:sz="1"/>
              <w:right w:val="single" w:color="9FE1CB" w:sz="1"/>
            </w:tcBorders>
            <w:shd w:fill="FFFFFF" w:val="clear"/>
            <w:tcMar>
              <w:top w:type="dxa" w:w="80"/>
              <w:left w:type="dxa" w:w="120"/>
              <w:bottom w:type="dxa" w:w="80"/>
              <w:right w:type="dxa" w:w="120"/>
            </w:tcMar>
          </w:tcPr>
          <w:p>
            <w:r>
              <w:rPr>
                <w:rFonts w:ascii="Arial" w:cs="Arial" w:eastAsia="Arial" w:hAnsi="Arial"/>
                <w:color w:val="444441"/>
                <w:sz w:val="22"/>
                <w:szCs w:val="22"/>
              </w:rPr>
              <w:t xml:space="preserve">The Sci-Tech Year (STY) — a dedicated annual calendar for science and technology</w:t>
            </w:r>
          </w:p>
        </w:tc>
      </w:tr>
    </w:tbl>
    <w:p>
      <w:pPr>
        <w:spacing w:before="4" w:after="4"/>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c>
          <w:tcPr>
            <w:tcW w:type="dxa" w:w="2200"/>
            <w:tcBorders>
              <w:top w:val="single" w:color="9FE1CB" w:sz="1"/>
              <w:left w:val="single" w:color="9FE1CB" w:sz="1"/>
              <w:bottom w:val="single" w:color="9FE1CB" w:sz="1"/>
              <w:right w:val="single" w:color="9FE1CB" w:sz="1"/>
            </w:tcBorders>
            <w:shd w:fill="E1F5EE" w:val="clear"/>
            <w:tcMar>
              <w:top w:type="dxa" w:w="80"/>
              <w:left w:type="dxa" w:w="120"/>
              <w:bottom w:type="dxa" w:w="80"/>
              <w:right w:type="dxa" w:w="120"/>
            </w:tcMar>
          </w:tcPr>
          <w:p>
            <w:r>
              <w:rPr>
                <w:rFonts w:ascii="Arial" w:cs="Arial" w:eastAsia="Arial" w:hAnsi="Arial"/>
                <w:b/>
                <w:bCs/>
                <w:color w:val="0F6E56"/>
                <w:sz w:val="22"/>
                <w:szCs w:val="22"/>
              </w:rPr>
              <w:t xml:space="preserve">Runs</w:t>
            </w:r>
          </w:p>
        </w:tc>
        <w:tc>
          <w:tcPr>
            <w:tcW w:type="dxa" w:w="7160"/>
            <w:tcBorders>
              <w:top w:val="single" w:color="9FE1CB" w:sz="1"/>
              <w:left w:val="single" w:color="9FE1CB" w:sz="1"/>
              <w:bottom w:val="single" w:color="9FE1CB" w:sz="1"/>
              <w:right w:val="single" w:color="9FE1CB" w:sz="1"/>
            </w:tcBorders>
            <w:shd w:fill="FFFFFF" w:val="clear"/>
            <w:tcMar>
              <w:top w:type="dxa" w:w="80"/>
              <w:left w:type="dxa" w:w="120"/>
              <w:bottom w:type="dxa" w:w="80"/>
              <w:right w:type="dxa" w:w="120"/>
            </w:tcMar>
          </w:tcPr>
          <w:p>
            <w:r>
              <w:rPr>
                <w:rFonts w:ascii="Arial" w:cs="Arial" w:eastAsia="Arial" w:hAnsi="Arial"/>
                <w:color w:val="444441"/>
                <w:sz w:val="22"/>
                <w:szCs w:val="22"/>
              </w:rPr>
              <w:t xml:space="preserve">March → February (12 months)</w:t>
            </w:r>
          </w:p>
        </w:tc>
      </w:tr>
    </w:tbl>
    <w:p>
      <w:pPr>
        <w:spacing w:before="4" w:after="4"/>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c>
          <w:tcPr>
            <w:tcW w:type="dxa" w:w="2200"/>
            <w:tcBorders>
              <w:top w:val="single" w:color="9FE1CB" w:sz="1"/>
              <w:left w:val="single" w:color="9FE1CB" w:sz="1"/>
              <w:bottom w:val="single" w:color="9FE1CB" w:sz="1"/>
              <w:right w:val="single" w:color="9FE1CB" w:sz="1"/>
            </w:tcBorders>
            <w:shd w:fill="E1F5EE" w:val="clear"/>
            <w:tcMar>
              <w:top w:type="dxa" w:w="80"/>
              <w:left w:type="dxa" w:w="120"/>
              <w:bottom w:type="dxa" w:w="80"/>
              <w:right w:type="dxa" w:w="120"/>
            </w:tcMar>
          </w:tcPr>
          <w:p>
            <w:r>
              <w:rPr>
                <w:rFonts w:ascii="Arial" w:cs="Arial" w:eastAsia="Arial" w:hAnsi="Arial"/>
                <w:b/>
                <w:bCs/>
                <w:color w:val="0F6E56"/>
                <w:sz w:val="22"/>
                <w:szCs w:val="22"/>
              </w:rPr>
              <w:t xml:space="preserve">Anchor</w:t>
            </w:r>
          </w:p>
        </w:tc>
        <w:tc>
          <w:tcPr>
            <w:tcW w:type="dxa" w:w="7160"/>
            <w:tcBorders>
              <w:top w:val="single" w:color="9FE1CB" w:sz="1"/>
              <w:left w:val="single" w:color="9FE1CB" w:sz="1"/>
              <w:bottom w:val="single" w:color="9FE1CB" w:sz="1"/>
              <w:right w:val="single" w:color="9FE1CB" w:sz="1"/>
            </w:tcBorders>
            <w:shd w:fill="FFFFFF" w:val="clear"/>
            <w:tcMar>
              <w:top w:type="dxa" w:w="80"/>
              <w:left w:type="dxa" w:w="120"/>
              <w:bottom w:type="dxa" w:w="80"/>
              <w:right w:type="dxa" w:w="120"/>
            </w:tcMar>
          </w:tcPr>
          <w:p>
            <w:r>
              <w:rPr>
                <w:rFonts w:ascii="Arial" w:cs="Arial" w:eastAsia="Arial" w:hAnsi="Arial"/>
                <w:color w:val="444441"/>
                <w:sz w:val="22"/>
                <w:szCs w:val="22"/>
              </w:rPr>
              <w:t xml:space="preserve">#March4Science — opens the year with R&amp;D agenda &amp; funding priorities</w:t>
            </w:r>
          </w:p>
        </w:tc>
      </w:tr>
    </w:tbl>
    <w:p>
      <w:pPr>
        <w:spacing w:before="4" w:after="4"/>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c>
          <w:tcPr>
            <w:tcW w:type="dxa" w:w="2200"/>
            <w:tcBorders>
              <w:top w:val="single" w:color="9FE1CB" w:sz="1"/>
              <w:left w:val="single" w:color="9FE1CB" w:sz="1"/>
              <w:bottom w:val="single" w:color="9FE1CB" w:sz="1"/>
              <w:right w:val="single" w:color="9FE1CB" w:sz="1"/>
            </w:tcBorders>
            <w:shd w:fill="E1F5EE" w:val="clear"/>
            <w:tcMar>
              <w:top w:type="dxa" w:w="80"/>
              <w:left w:type="dxa" w:w="120"/>
              <w:bottom w:type="dxa" w:w="80"/>
              <w:right w:type="dxa" w:w="120"/>
            </w:tcMar>
          </w:tcPr>
          <w:p>
            <w:r>
              <w:rPr>
                <w:rFonts w:ascii="Arial" w:cs="Arial" w:eastAsia="Arial" w:hAnsi="Arial"/>
                <w:b/>
                <w:bCs/>
                <w:color w:val="0F6E56"/>
                <w:sz w:val="22"/>
                <w:szCs w:val="22"/>
              </w:rPr>
              <w:t xml:space="preserve">Proposed by</w:t>
            </w:r>
          </w:p>
        </w:tc>
        <w:tc>
          <w:tcPr>
            <w:tcW w:type="dxa" w:w="7160"/>
            <w:tcBorders>
              <w:top w:val="single" w:color="9FE1CB" w:sz="1"/>
              <w:left w:val="single" w:color="9FE1CB" w:sz="1"/>
              <w:bottom w:val="single" w:color="9FE1CB" w:sz="1"/>
              <w:right w:val="single" w:color="9FE1CB" w:sz="1"/>
            </w:tcBorders>
            <w:shd w:fill="FFFFFF" w:val="clear"/>
            <w:tcMar>
              <w:top w:type="dxa" w:w="80"/>
              <w:left w:type="dxa" w:w="120"/>
              <w:bottom w:type="dxa" w:w="80"/>
              <w:right w:type="dxa" w:w="120"/>
            </w:tcMar>
          </w:tcPr>
          <w:p>
            <w:r>
              <w:rPr>
                <w:rFonts w:ascii="Arial" w:cs="Arial" w:eastAsia="Arial" w:hAnsi="Arial"/>
                <w:color w:val="444441"/>
                <w:sz w:val="22"/>
                <w:szCs w:val="22"/>
              </w:rPr>
              <w:t xml:space="preserve">Guru Prasad Gajendran, Bengaluru, Karnataka, India</w:t>
            </w:r>
          </w:p>
        </w:tc>
      </w:tr>
    </w:tbl>
    <w:p>
      <w:pPr>
        <w:spacing w:before="4" w:after="4"/>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c>
          <w:tcPr>
            <w:tcW w:type="dxa" w:w="2200"/>
            <w:tcBorders>
              <w:top w:val="single" w:color="9FE1CB" w:sz="1"/>
              <w:left w:val="single" w:color="9FE1CB" w:sz="1"/>
              <w:bottom w:val="single" w:color="9FE1CB" w:sz="1"/>
              <w:right w:val="single" w:color="9FE1CB" w:sz="1"/>
            </w:tcBorders>
            <w:shd w:fill="E1F5EE" w:val="clear"/>
            <w:tcMar>
              <w:top w:type="dxa" w:w="80"/>
              <w:left w:type="dxa" w:w="120"/>
              <w:bottom w:type="dxa" w:w="80"/>
              <w:right w:type="dxa" w:w="120"/>
            </w:tcMar>
          </w:tcPr>
          <w:p>
            <w:r>
              <w:rPr>
                <w:rFonts w:ascii="Arial" w:cs="Arial" w:eastAsia="Arial" w:hAnsi="Arial"/>
                <w:b/>
                <w:bCs/>
                <w:color w:val="0F6E56"/>
                <w:sz w:val="22"/>
                <w:szCs w:val="22"/>
              </w:rPr>
              <w:t xml:space="preserve">Date</w:t>
            </w:r>
          </w:p>
        </w:tc>
        <w:tc>
          <w:tcPr>
            <w:tcW w:type="dxa" w:w="7160"/>
            <w:tcBorders>
              <w:top w:val="single" w:color="9FE1CB" w:sz="1"/>
              <w:left w:val="single" w:color="9FE1CB" w:sz="1"/>
              <w:bottom w:val="single" w:color="9FE1CB" w:sz="1"/>
              <w:right w:val="single" w:color="9FE1CB" w:sz="1"/>
            </w:tcBorders>
            <w:shd w:fill="FFFFFF" w:val="clear"/>
            <w:tcMar>
              <w:top w:type="dxa" w:w="80"/>
              <w:left w:type="dxa" w:w="120"/>
              <w:bottom w:type="dxa" w:w="80"/>
              <w:right w:type="dxa" w:w="120"/>
            </w:tcMar>
          </w:tcPr>
          <w:p>
            <w:r>
              <w:rPr>
                <w:rFonts w:ascii="Arial" w:cs="Arial" w:eastAsia="Arial" w:hAnsi="Arial"/>
                <w:color w:val="444441"/>
                <w:sz w:val="22"/>
                <w:szCs w:val="22"/>
              </w:rPr>
              <w:t xml:space="preserve">Thursday, 26 March 2026</w:t>
            </w:r>
          </w:p>
        </w:tc>
      </w:tr>
    </w:tbl>
    <w:p>
      <w:pPr>
        <w:spacing w:before="4" w:after="4"/>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c>
          <w:tcPr>
            <w:tcW w:type="dxa" w:w="2200"/>
            <w:tcBorders>
              <w:top w:val="single" w:color="9FE1CB" w:sz="1"/>
              <w:left w:val="single" w:color="9FE1CB" w:sz="1"/>
              <w:bottom w:val="single" w:color="9FE1CB" w:sz="1"/>
              <w:right w:val="single" w:color="9FE1CB" w:sz="1"/>
            </w:tcBorders>
            <w:shd w:fill="E1F5EE" w:val="clear"/>
            <w:tcMar>
              <w:top w:type="dxa" w:w="80"/>
              <w:left w:type="dxa" w:w="120"/>
              <w:bottom w:type="dxa" w:w="80"/>
              <w:right w:type="dxa" w:w="120"/>
            </w:tcMar>
          </w:tcPr>
          <w:p>
            <w:r>
              <w:rPr>
                <w:rFonts w:ascii="Arial" w:cs="Arial" w:eastAsia="Arial" w:hAnsi="Arial"/>
                <w:b/>
                <w:bCs/>
                <w:color w:val="0F6E56"/>
                <w:sz w:val="22"/>
                <w:szCs w:val="22"/>
              </w:rPr>
              <w:t xml:space="preserve">Platform</w:t>
            </w:r>
          </w:p>
        </w:tc>
        <w:tc>
          <w:tcPr>
            <w:tcW w:type="dxa" w:w="7160"/>
            <w:tcBorders>
              <w:top w:val="single" w:color="9FE1CB" w:sz="1"/>
              <w:left w:val="single" w:color="9FE1CB" w:sz="1"/>
              <w:bottom w:val="single" w:color="9FE1CB" w:sz="1"/>
              <w:right w:val="single" w:color="9FE1CB" w:sz="1"/>
            </w:tcBorders>
            <w:shd w:fill="FFFFFF" w:val="clear"/>
            <w:tcMar>
              <w:top w:type="dxa" w:w="80"/>
              <w:left w:type="dxa" w:w="120"/>
              <w:bottom w:type="dxa" w:w="80"/>
              <w:right w:type="dxa" w:w="120"/>
            </w:tcMar>
          </w:tcPr>
          <w:p>
            <w:r>
              <w:rPr>
                <w:rFonts w:ascii="Arial" w:cs="Arial" w:eastAsia="Arial" w:hAnsi="Arial"/>
                <w:color w:val="444441"/>
                <w:sz w:val="22"/>
                <w:szCs w:val="22"/>
              </w:rPr>
              <w:t xml:space="preserve">Claude.ai (Anthropic) — conversation log, Bengaluru</w:t>
            </w:r>
          </w:p>
        </w:tc>
      </w:tr>
    </w:tbl>
    <w:p>
      <w:pPr>
        <w:spacing w:before="4" w:after="4"/>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c>
          <w:tcPr>
            <w:tcW w:type="dxa" w:w="2200"/>
            <w:tcBorders>
              <w:top w:val="single" w:color="9FE1CB" w:sz="1"/>
              <w:left w:val="single" w:color="9FE1CB" w:sz="1"/>
              <w:bottom w:val="single" w:color="9FE1CB" w:sz="1"/>
              <w:right w:val="single" w:color="9FE1CB" w:sz="1"/>
            </w:tcBorders>
            <w:shd w:fill="E1F5EE" w:val="clear"/>
            <w:tcMar>
              <w:top w:type="dxa" w:w="80"/>
              <w:left w:type="dxa" w:w="120"/>
              <w:bottom w:type="dxa" w:w="80"/>
              <w:right w:type="dxa" w:w="120"/>
            </w:tcMar>
          </w:tcPr>
          <w:p>
            <w:r>
              <w:rPr>
                <w:rFonts w:ascii="Arial" w:cs="Arial" w:eastAsia="Arial" w:hAnsi="Arial"/>
                <w:b/>
                <w:bCs/>
                <w:color w:val="0F6E56"/>
                <w:sz w:val="22"/>
                <w:szCs w:val="22"/>
              </w:rPr>
              <w:t xml:space="preserve">Companion</w:t>
            </w:r>
          </w:p>
        </w:tc>
        <w:tc>
          <w:tcPr>
            <w:tcW w:type="dxa" w:w="7160"/>
            <w:tcBorders>
              <w:top w:val="single" w:color="9FE1CB" w:sz="1"/>
              <w:left w:val="single" w:color="9FE1CB" w:sz="1"/>
              <w:bottom w:val="single" w:color="9FE1CB" w:sz="1"/>
              <w:right w:val="single" w:color="9FE1CB" w:sz="1"/>
            </w:tcBorders>
            <w:shd w:fill="FFFFFF" w:val="clear"/>
            <w:tcMar>
              <w:top w:type="dxa" w:w="80"/>
              <w:left w:type="dxa" w:w="120"/>
              <w:bottom w:type="dxa" w:w="80"/>
              <w:right w:type="dxa" w:w="120"/>
            </w:tcMar>
          </w:tcPr>
          <w:p>
            <w:r>
              <w:rPr>
                <w:rFonts w:ascii="Arial" w:cs="Arial" w:eastAsia="Arial" w:hAnsi="Arial"/>
                <w:color w:val="444441"/>
                <w:sz w:val="22"/>
                <w:szCs w:val="22"/>
              </w:rPr>
              <w:t xml:space="preserve">Social-Political Year (SPY), May → April — proposed simultaneously</w:t>
            </w:r>
          </w:p>
        </w:tc>
      </w:tr>
    </w:tbl>
    <w:p>
      <w:pPr>
        <w:spacing w:before="240" w:after="0"/>
      </w:pPr>
    </w:p>
    <w:p>
      <w:pPr>
        <w:pBdr>
          <w:bottom w:val="single" w:color="9FE1CB" w:sz="6" w:space="1"/>
        </w:pBdr>
        <w:spacing w:before="200" w:after="200"/>
      </w:pPr>
    </w:p>
    <w:p>
      <w:pPr>
        <w:pStyle w:val="Heading2"/>
        <w:spacing w:before="240" w:after="120"/>
      </w:pPr>
      <w:r>
        <w:rPr>
          <w:rFonts w:ascii="Arial" w:cs="Arial" w:eastAsia="Arial" w:hAnsi="Arial"/>
          <w:b/>
          <w:bCs/>
          <w:color w:val="0F6E56"/>
          <w:sz w:val="28"/>
          <w:szCs w:val="28"/>
        </w:rPr>
        <w:t xml:space="preserve">The Idea</w:t>
      </w:r>
    </w:p>
    <w:p>
      <w:pPr>
        <w:spacing w:before="80" w:after="160"/>
      </w:pPr>
      <w:r>
        <w:rPr>
          <w:rFonts w:ascii="Arial" w:cs="Arial" w:eastAsia="Arial" w:hAnsi="Arial"/>
          <w:color w:val="444441"/>
          <w:sz w:val="24"/>
          <w:szCs w:val="24"/>
        </w:rPr>
        <w:t xml:space="preserve">Every major domain of human activity in India already has its own temporal anchor. The </w:t>
      </w:r>
      <w:r>
        <w:rPr>
          <w:rFonts w:ascii="Arial" w:cs="Arial" w:eastAsia="Arial" w:hAnsi="Arial"/>
          <w:b/>
          <w:bCs/>
          <w:color w:val="444441"/>
          <w:sz w:val="24"/>
          <w:szCs w:val="24"/>
        </w:rPr>
        <w:t xml:space="preserve">Financial Year (April–March)</w:t>
      </w:r>
      <w:r>
        <w:rPr>
          <w:rFonts w:ascii="Arial" w:cs="Arial" w:eastAsia="Arial" w:hAnsi="Arial"/>
          <w:color w:val="444441"/>
          <w:sz w:val="24"/>
          <w:szCs w:val="24"/>
        </w:rPr>
        <w:t xml:space="preserve"> opens with a Budget. The </w:t>
      </w:r>
      <w:r>
        <w:rPr>
          <w:rFonts w:ascii="Arial" w:cs="Arial" w:eastAsia="Arial" w:hAnsi="Arial"/>
          <w:b/>
          <w:bCs/>
          <w:color w:val="444441"/>
          <w:sz w:val="24"/>
          <w:szCs w:val="24"/>
        </w:rPr>
        <w:t xml:space="preserve">Academic Year (July–June)</w:t>
      </w:r>
      <w:r>
        <w:rPr>
          <w:rFonts w:ascii="Arial" w:cs="Arial" w:eastAsia="Arial" w:hAnsi="Arial"/>
          <w:color w:val="444441"/>
          <w:sz w:val="24"/>
          <w:szCs w:val="24"/>
        </w:rPr>
        <w:t xml:space="preserve"> opens with admissions. The </w:t>
      </w:r>
      <w:r>
        <w:rPr>
          <w:rFonts w:ascii="Arial" w:cs="Arial" w:eastAsia="Arial" w:hAnsi="Arial"/>
          <w:b/>
          <w:bCs/>
          <w:color w:val="444441"/>
          <w:sz w:val="24"/>
          <w:szCs w:val="24"/>
        </w:rPr>
        <w:t xml:space="preserve">Ugadi Year</w:t>
      </w:r>
      <w:r>
        <w:rPr>
          <w:rFonts w:ascii="Arial" w:cs="Arial" w:eastAsia="Arial" w:hAnsi="Arial"/>
          <w:color w:val="444441"/>
          <w:sz w:val="24"/>
          <w:szCs w:val="24"/>
        </w:rPr>
        <w:t xml:space="preserve"> anchors culture and festivals. The </w:t>
      </w:r>
      <w:r>
        <w:rPr>
          <w:rFonts w:ascii="Arial" w:cs="Arial" w:eastAsia="Arial" w:hAnsi="Arial"/>
          <w:b/>
          <w:bCs/>
          <w:color w:val="444441"/>
          <w:sz w:val="24"/>
          <w:szCs w:val="24"/>
        </w:rPr>
        <w:t xml:space="preserve">Gregorian Year</w:t>
      </w:r>
      <w:r>
        <w:rPr>
          <w:rFonts w:ascii="Arial" w:cs="Arial" w:eastAsia="Arial" w:hAnsi="Arial"/>
          <w:color w:val="444441"/>
          <w:sz w:val="24"/>
          <w:szCs w:val="24"/>
        </w:rPr>
        <w:t xml:space="preserve"> anchors global commerce.</w:t>
      </w:r>
    </w:p>
    <w:p>
      <w:pPr>
        <w:spacing w:before="80" w:after="160"/>
      </w:pPr>
      <w:r>
        <w:rPr>
          <w:rFonts w:ascii="Arial" w:cs="Arial" w:eastAsia="Arial" w:hAnsi="Arial"/>
          <w:color w:val="444441"/>
          <w:sz w:val="24"/>
          <w:szCs w:val="24"/>
        </w:rPr>
        <w:t xml:space="preserve">Yet science and technology — arguably the most consequential domain for the 21st century — has no such year. It borrows its calendar from commerce, its award cycles from the Gregorian year, and its launch events from consumer marketing.</w:t>
      </w:r>
    </w:p>
    <w:p>
      <w:pPr>
        <w:spacing w:before="80" w:after="160"/>
      </w:pPr>
      <w:r>
        <w:rPr>
          <w:rFonts w:ascii="Arial" w:cs="Arial" w:eastAsia="Arial" w:hAnsi="Arial"/>
          <w:b/>
          <w:bCs/>
          <w:color w:val="444441"/>
          <w:sz w:val="24"/>
          <w:szCs w:val="24"/>
        </w:rPr>
        <w:t xml:space="preserve">The Sci-Tech Year (STY) proposes to change that.</w:t>
      </w:r>
    </w:p>
    <w:p>
      <w:pPr>
        <w:spacing w:before="80" w:after="160"/>
      </w:pPr>
      <w:r>
        <w:rPr>
          <w:rFonts w:ascii="Arial" w:cs="Arial" w:eastAsia="Arial" w:hAnsi="Arial"/>
          <w:color w:val="444441"/>
          <w:sz w:val="24"/>
          <w:szCs w:val="24"/>
        </w:rPr>
        <w:t xml:space="preserve">By anchoring the year to </w:t>
      </w:r>
      <w:r>
        <w:rPr>
          <w:rFonts w:ascii="Arial" w:cs="Arial" w:eastAsia="Arial" w:hAnsi="Arial"/>
          <w:b/>
          <w:bCs/>
          <w:color w:val="444441"/>
          <w:sz w:val="24"/>
          <w:szCs w:val="24"/>
        </w:rPr>
        <w:t xml:space="preserve">March</w:t>
      </w:r>
      <w:r>
        <w:rPr>
          <w:rFonts w:ascii="Arial" w:cs="Arial" w:eastAsia="Arial" w:hAnsi="Arial"/>
          <w:color w:val="444441"/>
          <w:sz w:val="24"/>
          <w:szCs w:val="24"/>
        </w:rPr>
        <w:t xml:space="preserve"> — the month of #March4Science — the STY gives the global science and technology community a dedicated temporal framework: a moment to declare its research agenda, set funding priorities, track the gadget and product cycle, and close the year with a forecast for what comes next.</w:t>
      </w:r>
    </w:p>
    <w:p>
      <w:pPr>
        <w:pBdr>
          <w:bottom w:val="single" w:color="9FE1CB" w:sz="6" w:space="1"/>
        </w:pBdr>
        <w:spacing w:before="200" w:after="200"/>
      </w:pPr>
    </w:p>
    <w:p>
      <w:pPr>
        <w:pStyle w:val="Heading2"/>
        <w:spacing w:before="240" w:after="120"/>
      </w:pPr>
      <w:r>
        <w:rPr>
          <w:rFonts w:ascii="Arial" w:cs="Arial" w:eastAsia="Arial" w:hAnsi="Arial"/>
          <w:b/>
          <w:bCs/>
          <w:color w:val="0F6E56"/>
          <w:sz w:val="28"/>
          <w:szCs w:val="28"/>
        </w:rPr>
        <w:t xml:space="preserve">Calendar Structure</w:t>
      </w:r>
    </w:p>
    <w:p>
      <w:pPr>
        <w:spacing w:before="80" w:after="160"/>
      </w:pPr>
      <w:r>
        <w:rPr>
          <w:rFonts w:ascii="Arial" w:cs="Arial" w:eastAsia="Arial" w:hAnsi="Arial"/>
          <w:b/>
          <w:bCs/>
          <w:color w:val="444441"/>
          <w:sz w:val="24"/>
          <w:szCs w:val="24"/>
        </w:rPr>
        <w:t xml:space="preserve">Year span: </w:t>
      </w:r>
      <w:r>
        <w:rPr>
          <w:rFonts w:ascii="Arial" w:cs="Arial" w:eastAsia="Arial" w:hAnsi="Arial"/>
          <w:color w:val="444441"/>
          <w:sz w:val="24"/>
          <w:szCs w:val="24"/>
        </w:rPr>
        <w:t xml:space="preserve">1 March → 28/29 February</w:t>
      </w:r>
    </w:p>
    <w:p>
      <w:pPr>
        <w:spacing w:before="80" w:after="160"/>
      </w:pPr>
      <w:r>
        <w:rPr>
          <w:rFonts w:ascii="Arial" w:cs="Arial" w:eastAsia="Arial" w:hAnsi="Arial"/>
          <w:b/>
          <w:bCs/>
          <w:color w:val="444441"/>
          <w:sz w:val="24"/>
          <w:szCs w:val="24"/>
        </w:rPr>
        <w:t xml:space="preserve">Opening anchor: </w:t>
      </w:r>
      <w:r>
        <w:rPr>
          <w:rFonts w:ascii="Arial" w:cs="Arial" w:eastAsia="Arial" w:hAnsi="Arial"/>
          <w:color w:val="444441"/>
          <w:sz w:val="24"/>
          <w:szCs w:val="24"/>
        </w:rPr>
        <w:t xml:space="preserve">#March4Science (first Saturday of April, adjacent to Earth Day, Apr 22)</w:t>
      </w:r>
    </w:p>
    <w:p>
      <w:pPr>
        <w:spacing w:before="120" w:after="8"/>
      </w:pPr>
      <w:r>
        <w:rPr>
          <w:rFonts w:ascii="Arial" w:cs="Arial" w:eastAsia="Arial" w:hAnsi="Arial"/>
          <w:b/>
          <w:bCs/>
          <w:color w:val="444441"/>
          <w:sz w:val="24"/>
          <w:szCs w:val="24"/>
        </w:rPr>
        <w:t xml:space="preserve">The four phases:</w:t>
      </w:r>
    </w:p>
    <w:p>
      <w:pPr>
        <w:spacing w:before="8" w:after="1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2340"/>
        <w:gridCol w:w="2340"/>
        <w:gridCol w:w="2340"/>
      </w:tblGrid>
      <w:tr>
        <w:tc>
          <w:tcPr>
            <w:tcW w:type="dxa" w:w="2340"/>
            <w:tcBorders>
              <w:top w:val="single" w:color="CCCCCC" w:sz="1"/>
              <w:left w:val="single" w:color="CCCCCC" w:sz="1"/>
              <w:bottom w:val="single" w:color="CCCCCC" w:sz="1"/>
              <w:right w:val="single" w:color="CCCCCC" w:sz="1"/>
            </w:tcBorders>
            <w:shd w:fill="1D9E75" w:val="clear"/>
            <w:tcMar>
              <w:top w:type="dxa" w:w="80"/>
              <w:left w:type="dxa" w:w="120"/>
              <w:bottom w:type="dxa" w:w="80"/>
              <w:right w:type="dxa" w:w="120"/>
            </w:tcMar>
          </w:tcPr>
          <w:p>
            <w:r>
              <w:rPr>
                <w:rFonts w:ascii="Arial" w:cs="Arial" w:eastAsia="Arial" w:hAnsi="Arial"/>
                <w:b/>
                <w:bCs/>
                <w:color w:val="FFFFFF"/>
                <w:sz w:val="22"/>
                <w:szCs w:val="22"/>
              </w:rPr>
              <w:t xml:space="preserve">Phase 1</w:t>
            </w:r>
          </w:p>
        </w:tc>
        <w:tc>
          <w:tcPr>
            <w:tcW w:type="dxa" w:w="2340"/>
            <w:tcBorders>
              <w:top w:val="single" w:color="CCCCCC" w:sz="1"/>
              <w:left w:val="single" w:color="CCCCCC" w:sz="1"/>
              <w:bottom w:val="single" w:color="CCCCCC" w:sz="1"/>
              <w:right w:val="single" w:color="CCCCCC" w:sz="1"/>
            </w:tcBorders>
            <w:shd w:fill="1D9E75" w:val="clear"/>
            <w:tcMar>
              <w:top w:type="dxa" w:w="80"/>
              <w:left w:type="dxa" w:w="120"/>
              <w:bottom w:type="dxa" w:w="80"/>
              <w:right w:type="dxa" w:w="120"/>
            </w:tcMar>
          </w:tcPr>
          <w:p>
            <w:r>
              <w:rPr>
                <w:rFonts w:ascii="Arial" w:cs="Arial" w:eastAsia="Arial" w:hAnsi="Arial"/>
                <w:b/>
                <w:bCs/>
                <w:color w:val="FFFFFF"/>
                <w:sz w:val="22"/>
                <w:szCs w:val="22"/>
              </w:rPr>
              <w:t xml:space="preserve">Phase 2</w:t>
            </w:r>
          </w:p>
        </w:tc>
        <w:tc>
          <w:tcPr>
            <w:tcW w:type="dxa" w:w="2340"/>
            <w:tcBorders>
              <w:top w:val="single" w:color="CCCCCC" w:sz="1"/>
              <w:left w:val="single" w:color="CCCCCC" w:sz="1"/>
              <w:bottom w:val="single" w:color="CCCCCC" w:sz="1"/>
              <w:right w:val="single" w:color="CCCCCC" w:sz="1"/>
            </w:tcBorders>
            <w:shd w:fill="1D9E75" w:val="clear"/>
            <w:tcMar>
              <w:top w:type="dxa" w:w="80"/>
              <w:left w:type="dxa" w:w="120"/>
              <w:bottom w:type="dxa" w:w="80"/>
              <w:right w:type="dxa" w:w="120"/>
            </w:tcMar>
          </w:tcPr>
          <w:p>
            <w:r>
              <w:rPr>
                <w:rFonts w:ascii="Arial" w:cs="Arial" w:eastAsia="Arial" w:hAnsi="Arial"/>
                <w:b/>
                <w:bCs/>
                <w:color w:val="FFFFFF"/>
                <w:sz w:val="22"/>
                <w:szCs w:val="22"/>
              </w:rPr>
              <w:t xml:space="preserve">Phase 3</w:t>
            </w:r>
          </w:p>
        </w:tc>
        <w:tc>
          <w:tcPr>
            <w:tcW w:type="dxa" w:w="2340"/>
            <w:tcBorders>
              <w:top w:val="single" w:color="CCCCCC" w:sz="1"/>
              <w:left w:val="single" w:color="CCCCCC" w:sz="1"/>
              <w:bottom w:val="single" w:color="CCCCCC" w:sz="1"/>
              <w:right w:val="single" w:color="CCCCCC" w:sz="1"/>
            </w:tcBorders>
            <w:shd w:fill="1D9E75" w:val="clear"/>
            <w:tcMar>
              <w:top w:type="dxa" w:w="80"/>
              <w:left w:type="dxa" w:w="120"/>
              <w:bottom w:type="dxa" w:w="80"/>
              <w:right w:type="dxa" w:w="120"/>
            </w:tcMar>
          </w:tcPr>
          <w:p>
            <w:r>
              <w:rPr>
                <w:rFonts w:ascii="Arial" w:cs="Arial" w:eastAsia="Arial" w:hAnsi="Arial"/>
                <w:b/>
                <w:bCs/>
                <w:color w:val="FFFFFF"/>
                <w:sz w:val="22"/>
                <w:szCs w:val="22"/>
              </w:rPr>
              <w:t xml:space="preserve">Phase 4</w:t>
            </w:r>
          </w:p>
        </w:tc>
      </w:tr>
      <w:tr>
        <w:tc>
          <w:tcPr>
            <w:tcW w:type="dxa" w:w="2340"/>
            <w:tcBorders>
              <w:top w:val="single" w:color="CCCCCC" w:sz="1"/>
              <w:left w:val="single" w:color="CCCCCC" w:sz="1"/>
              <w:bottom w:val="single" w:color="CCCCCC" w:sz="1"/>
              <w:right w:val="single" w:color="CCCCCC" w:sz="1"/>
            </w:tcBorders>
            <w:shd w:fill="E1F5EE" w:val="clear"/>
            <w:tcMar>
              <w:top w:type="dxa" w:w="80"/>
              <w:left w:type="dxa" w:w="120"/>
              <w:bottom w:type="dxa" w:w="80"/>
              <w:right w:type="dxa" w:w="120"/>
            </w:tcMar>
          </w:tcPr>
          <w:p>
            <w:r>
              <w:rPr>
                <w:rFonts w:ascii="Arial" w:cs="Arial" w:eastAsia="Arial" w:hAnsi="Arial"/>
                <w:color w:val="444441"/>
                <w:sz w:val="22"/>
                <w:szCs w:val="22"/>
              </w:rPr>
              <w:t xml:space="preserve">Mar–May</w:t>
            </w:r>
          </w:p>
        </w:tc>
        <w:tc>
          <w:tcPr>
            <w:tcW w:type="dxa" w:w="2340"/>
            <w:tcBorders>
              <w:top w:val="single" w:color="CCCCCC" w:sz="1"/>
              <w:left w:val="single" w:color="CCCCCC" w:sz="1"/>
              <w:bottom w:val="single" w:color="CCCCCC" w:sz="1"/>
              <w:right w:val="single" w:color="CCCCCC" w:sz="1"/>
            </w:tcBorders>
            <w:shd w:fill="E6F1FB" w:val="clear"/>
            <w:tcMar>
              <w:top w:type="dxa" w:w="80"/>
              <w:left w:type="dxa" w:w="120"/>
              <w:bottom w:type="dxa" w:w="80"/>
              <w:right w:type="dxa" w:w="120"/>
            </w:tcMar>
          </w:tcPr>
          <w:p>
            <w:r>
              <w:rPr>
                <w:rFonts w:ascii="Arial" w:cs="Arial" w:eastAsia="Arial" w:hAnsi="Arial"/>
                <w:color w:val="444441"/>
                <w:sz w:val="22"/>
                <w:szCs w:val="22"/>
              </w:rPr>
              <w:t xml:space="preserve">Jun–Aug</w:t>
            </w:r>
          </w:p>
        </w:tc>
        <w:tc>
          <w:tcPr>
            <w:tcW w:type="dxa" w:w="2340"/>
            <w:tcBorders>
              <w:top w:val="single" w:color="CCCCCC" w:sz="1"/>
              <w:left w:val="single" w:color="CCCCCC" w:sz="1"/>
              <w:bottom w:val="single" w:color="CCCCCC" w:sz="1"/>
              <w:right w:val="single" w:color="CCCCCC" w:sz="1"/>
            </w:tcBorders>
            <w:shd w:fill="EEEDFE" w:val="clear"/>
            <w:tcMar>
              <w:top w:type="dxa" w:w="80"/>
              <w:left w:type="dxa" w:w="120"/>
              <w:bottom w:type="dxa" w:w="80"/>
              <w:right w:type="dxa" w:w="120"/>
            </w:tcMar>
          </w:tcPr>
          <w:p>
            <w:r>
              <w:rPr>
                <w:rFonts w:ascii="Arial" w:cs="Arial" w:eastAsia="Arial" w:hAnsi="Arial"/>
                <w:color w:val="444441"/>
                <w:sz w:val="22"/>
                <w:szCs w:val="22"/>
              </w:rPr>
              <w:t xml:space="preserve">Sep–Nov</w:t>
            </w:r>
          </w:p>
        </w:tc>
        <w:tc>
          <w:tcPr>
            <w:tcW w:type="dxa" w:w="2340"/>
            <w:tcBorders>
              <w:top w:val="single" w:color="CCCCCC" w:sz="1"/>
              <w:left w:val="single" w:color="CCCCCC" w:sz="1"/>
              <w:bottom w:val="single" w:color="CCCCCC" w:sz="1"/>
              <w:right w:val="single" w:color="CCCCCC" w:sz="1"/>
            </w:tcBorders>
            <w:shd w:fill="FAEEDA" w:val="clear"/>
            <w:tcMar>
              <w:top w:type="dxa" w:w="80"/>
              <w:left w:type="dxa" w:w="120"/>
              <w:bottom w:type="dxa" w:w="80"/>
              <w:right w:type="dxa" w:w="120"/>
            </w:tcMar>
          </w:tcPr>
          <w:p>
            <w:r>
              <w:rPr>
                <w:rFonts w:ascii="Arial" w:cs="Arial" w:eastAsia="Arial" w:hAnsi="Arial"/>
                <w:color w:val="444441"/>
                <w:sz w:val="22"/>
                <w:szCs w:val="22"/>
              </w:rPr>
              <w:t xml:space="preserve">Dec–Feb</w:t>
            </w:r>
          </w:p>
        </w:tc>
      </w:tr>
      <w:tr>
        <w:tc>
          <w:tcPr>
            <w:tcW w:type="dxa" w:w="23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444441"/>
                <w:sz w:val="22"/>
                <w:szCs w:val="22"/>
              </w:rPr>
              <w:t xml:space="preserve">R&amp;D Agenda &amp; Grants</w:t>
            </w:r>
          </w:p>
        </w:tc>
        <w:tc>
          <w:tcPr>
            <w:tcW w:type="dxa" w:w="23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444441"/>
                <w:sz w:val="22"/>
                <w:szCs w:val="22"/>
              </w:rPr>
              <w:t xml:space="preserve">Developer &amp; Launch Season</w:t>
            </w:r>
          </w:p>
        </w:tc>
        <w:tc>
          <w:tcPr>
            <w:tcW w:type="dxa" w:w="23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444441"/>
                <w:sz w:val="22"/>
                <w:szCs w:val="22"/>
              </w:rPr>
              <w:t xml:space="preserve">Gadget &amp; Product Harvest</w:t>
            </w:r>
          </w:p>
        </w:tc>
        <w:tc>
          <w:tcPr>
            <w:tcW w:type="dxa" w:w="23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444441"/>
                <w:sz w:val="22"/>
                <w:szCs w:val="22"/>
              </w:rPr>
              <w:t xml:space="preserve">Review &amp; Forecast</w:t>
            </w:r>
          </w:p>
        </w:tc>
      </w:tr>
    </w:tbl>
    <w:p>
      <w:pPr>
        <w:spacing w:before="160" w:after="0"/>
      </w:pPr>
    </w:p>
    <w:p>
      <w:pPr>
        <w:pStyle w:val="Heading2"/>
        <w:spacing w:before="240" w:after="120"/>
      </w:pPr>
      <w:r>
        <w:rPr>
          <w:rFonts w:ascii="Arial" w:cs="Arial" w:eastAsia="Arial" w:hAnsi="Arial"/>
          <w:b/>
          <w:bCs/>
          <w:color w:val="0F6E56"/>
          <w:sz w:val="28"/>
          <w:szCs w:val="28"/>
        </w:rPr>
        <w:t xml:space="preserve">Key Milestones Within the STY</w:t>
      </w:r>
    </w:p>
    <w:p>
      <w:pPr>
        <w:pStyle w:val="ListParagraph"/>
        <w:numPr>
          <w:ilvl w:val="0"/>
          <w:numId w:val="2"/>
        </w:numPr>
        <w:spacing w:before="60" w:after="60"/>
      </w:pPr>
      <w:r>
        <w:rPr>
          <w:rFonts w:ascii="Arial" w:cs="Arial" w:eastAsia="Arial" w:hAnsi="Arial"/>
          <w:b/>
          <w:bCs/>
          <w:color w:val="444441"/>
          <w:sz w:val="24"/>
          <w:szCs w:val="24"/>
        </w:rPr>
        <w:t xml:space="preserve">March: </w:t>
      </w:r>
      <w:r>
        <w:rPr>
          <w:rFonts w:ascii="Arial" w:cs="Arial" w:eastAsia="Arial" w:hAnsi="Arial"/>
          <w:color w:val="444441"/>
          <w:sz w:val="24"/>
          <w:szCs w:val="24"/>
        </w:rPr>
        <w:t xml:space="preserve">#March4Science — STY opens. Research agenda &amp; funding priorities declared publicly.</w:t>
      </w:r>
    </w:p>
    <w:p>
      <w:pPr>
        <w:pStyle w:val="ListParagraph"/>
        <w:numPr>
          <w:ilvl w:val="0"/>
          <w:numId w:val="2"/>
        </w:numPr>
        <w:spacing w:before="60" w:after="60"/>
      </w:pPr>
      <w:r>
        <w:rPr>
          <w:rFonts w:ascii="Arial" w:cs="Arial" w:eastAsia="Arial" w:hAnsi="Arial"/>
          <w:b/>
          <w:bCs/>
          <w:color w:val="444441"/>
          <w:sz w:val="24"/>
          <w:szCs w:val="24"/>
        </w:rPr>
        <w:t xml:space="preserve">April 22: </w:t>
      </w:r>
      <w:r>
        <w:rPr>
          <w:rFonts w:ascii="Arial" w:cs="Arial" w:eastAsia="Arial" w:hAnsi="Arial"/>
          <w:color w:val="444441"/>
          <w:sz w:val="24"/>
          <w:szCs w:val="24"/>
        </w:rPr>
        <w:t xml:space="preserve">Earth Day / Science March rallies — climate-tech spotlight, policy asks.</w:t>
      </w:r>
    </w:p>
    <w:p>
      <w:pPr>
        <w:pStyle w:val="ListParagraph"/>
        <w:numPr>
          <w:ilvl w:val="0"/>
          <w:numId w:val="2"/>
        </w:numPr>
        <w:spacing w:before="60" w:after="60"/>
      </w:pPr>
      <w:r>
        <w:rPr>
          <w:rFonts w:ascii="Arial" w:cs="Arial" w:eastAsia="Arial" w:hAnsi="Arial"/>
          <w:b/>
          <w:bCs/>
          <w:color w:val="444441"/>
          <w:sz w:val="24"/>
          <w:szCs w:val="24"/>
        </w:rPr>
        <w:t xml:space="preserve">May–June: </w:t>
      </w:r>
      <w:r>
        <w:rPr>
          <w:rFonts w:ascii="Arial" w:cs="Arial" w:eastAsia="Arial" w:hAnsi="Arial"/>
          <w:color w:val="444441"/>
          <w:sz w:val="24"/>
          <w:szCs w:val="24"/>
        </w:rPr>
        <w:t xml:space="preserve">Google I/O · Apple WWDC · major developer conference season.</w:t>
      </w:r>
    </w:p>
    <w:p>
      <w:pPr>
        <w:pStyle w:val="ListParagraph"/>
        <w:numPr>
          <w:ilvl w:val="0"/>
          <w:numId w:val="2"/>
        </w:numPr>
        <w:spacing w:before="60" w:after="60"/>
      </w:pPr>
      <w:r>
        <w:rPr>
          <w:rFonts w:ascii="Arial" w:cs="Arial" w:eastAsia="Arial" w:hAnsi="Arial"/>
          <w:b/>
          <w:bCs/>
          <w:color w:val="444441"/>
          <w:sz w:val="24"/>
          <w:szCs w:val="24"/>
        </w:rPr>
        <w:t xml:space="preserve">July: </w:t>
      </w:r>
      <w:r>
        <w:rPr>
          <w:rFonts w:ascii="Arial" w:cs="Arial" w:eastAsia="Arial" w:hAnsi="Arial"/>
          <w:color w:val="444441"/>
          <w:sz w:val="24"/>
          <w:szCs w:val="24"/>
        </w:rPr>
        <w:t xml:space="preserve">Mid-year science grant window &amp; patent filing peak.</w:t>
      </w:r>
    </w:p>
    <w:p>
      <w:pPr>
        <w:pStyle w:val="ListParagraph"/>
        <w:numPr>
          <w:ilvl w:val="0"/>
          <w:numId w:val="2"/>
        </w:numPr>
        <w:spacing w:before="60" w:after="60"/>
      </w:pPr>
      <w:r>
        <w:rPr>
          <w:rFonts w:ascii="Arial" w:cs="Arial" w:eastAsia="Arial" w:hAnsi="Arial"/>
          <w:b/>
          <w:bCs/>
          <w:color w:val="444441"/>
          <w:sz w:val="24"/>
          <w:szCs w:val="24"/>
        </w:rPr>
        <w:t xml:space="preserve">September: </w:t>
      </w:r>
      <w:r>
        <w:rPr>
          <w:rFonts w:ascii="Arial" w:cs="Arial" w:eastAsia="Arial" w:hAnsi="Arial"/>
          <w:color w:val="444441"/>
          <w:sz w:val="24"/>
          <w:szCs w:val="24"/>
        </w:rPr>
        <w:t xml:space="preserve">Apple / Samsung hardware keynotes — flagship gadget launches.</w:t>
      </w:r>
    </w:p>
    <w:p>
      <w:pPr>
        <w:pStyle w:val="ListParagraph"/>
        <w:numPr>
          <w:ilvl w:val="0"/>
          <w:numId w:val="2"/>
        </w:numPr>
        <w:spacing w:before="60" w:after="60"/>
      </w:pPr>
      <w:r>
        <w:rPr>
          <w:rFonts w:ascii="Arial" w:cs="Arial" w:eastAsia="Arial" w:hAnsi="Arial"/>
          <w:b/>
          <w:bCs/>
          <w:color w:val="444441"/>
          <w:sz w:val="24"/>
          <w:szCs w:val="24"/>
        </w:rPr>
        <w:t xml:space="preserve">October: </w:t>
      </w:r>
      <w:r>
        <w:rPr>
          <w:rFonts w:ascii="Arial" w:cs="Arial" w:eastAsia="Arial" w:hAnsi="Arial"/>
          <w:color w:val="444441"/>
          <w:sz w:val="24"/>
          <w:szCs w:val="24"/>
        </w:rPr>
        <w:t xml:space="preserve">Nobel Prize announcements — the scientific year's highest recognition moment.</w:t>
      </w:r>
    </w:p>
    <w:p>
      <w:pPr>
        <w:pStyle w:val="ListParagraph"/>
        <w:numPr>
          <w:ilvl w:val="0"/>
          <w:numId w:val="2"/>
        </w:numPr>
        <w:spacing w:before="60" w:after="60"/>
      </w:pPr>
      <w:r>
        <w:rPr>
          <w:rFonts w:ascii="Arial" w:cs="Arial" w:eastAsia="Arial" w:hAnsi="Arial"/>
          <w:b/>
          <w:bCs/>
          <w:color w:val="444441"/>
          <w:sz w:val="24"/>
          <w:szCs w:val="24"/>
        </w:rPr>
        <w:t xml:space="preserve">November: </w:t>
      </w:r>
      <w:r>
        <w:rPr>
          <w:rFonts w:ascii="Arial" w:cs="Arial" w:eastAsia="Arial" w:hAnsi="Arial"/>
          <w:color w:val="444441"/>
          <w:sz w:val="24"/>
          <w:szCs w:val="24"/>
        </w:rPr>
        <w:t xml:space="preserve">NeurIPS &amp; major AI / science conferences.</w:t>
      </w:r>
    </w:p>
    <w:p>
      <w:pPr>
        <w:pStyle w:val="ListParagraph"/>
        <w:numPr>
          <w:ilvl w:val="0"/>
          <w:numId w:val="2"/>
        </w:numPr>
        <w:spacing w:before="60" w:after="60"/>
      </w:pPr>
      <w:r>
        <w:rPr>
          <w:rFonts w:ascii="Arial" w:cs="Arial" w:eastAsia="Arial" w:hAnsi="Arial"/>
          <w:b/>
          <w:bCs/>
          <w:color w:val="444441"/>
          <w:sz w:val="24"/>
          <w:szCs w:val="24"/>
        </w:rPr>
        <w:t xml:space="preserve">January: </w:t>
      </w:r>
      <w:r>
        <w:rPr>
          <w:rFonts w:ascii="Arial" w:cs="Arial" w:eastAsia="Arial" w:hAnsi="Arial"/>
          <w:color w:val="444441"/>
          <w:sz w:val="24"/>
          <w:szCs w:val="24"/>
        </w:rPr>
        <w:t xml:space="preserve">CES Las Vegas — consumer tech showcase, year-ahead gadget previews.</w:t>
      </w:r>
    </w:p>
    <w:p>
      <w:pPr>
        <w:pStyle w:val="ListParagraph"/>
        <w:numPr>
          <w:ilvl w:val="0"/>
          <w:numId w:val="2"/>
        </w:numPr>
        <w:spacing w:before="60" w:after="60"/>
      </w:pPr>
      <w:r>
        <w:rPr>
          <w:rFonts w:ascii="Arial" w:cs="Arial" w:eastAsia="Arial" w:hAnsi="Arial"/>
          <w:b/>
          <w:bCs/>
          <w:color w:val="444441"/>
          <w:sz w:val="24"/>
          <w:szCs w:val="24"/>
        </w:rPr>
        <w:t xml:space="preserve">February: </w:t>
      </w:r>
      <w:r>
        <w:rPr>
          <w:rFonts w:ascii="Arial" w:cs="Arial" w:eastAsia="Arial" w:hAnsi="Arial"/>
          <w:color w:val="444441"/>
          <w:sz w:val="24"/>
          <w:szCs w:val="24"/>
        </w:rPr>
        <w:t xml:space="preserve">STY closes — annual sci-tech report card published. Next year's agenda seeded.</w:t>
      </w:r>
    </w:p>
    <w:p>
      <w:pPr>
        <w:spacing w:before="160" w:after="0"/>
      </w:pPr>
    </w:p>
    <w:p>
      <w:pPr>
        <w:pBdr>
          <w:bottom w:val="single" w:color="9FE1CB" w:sz="6" w:space="1"/>
        </w:pBdr>
        <w:spacing w:before="200" w:after="200"/>
      </w:pPr>
    </w:p>
    <w:p>
      <w:pPr>
        <w:pStyle w:val="Heading2"/>
        <w:spacing w:before="240" w:after="120"/>
      </w:pPr>
      <w:r>
        <w:rPr>
          <w:rFonts w:ascii="Arial" w:cs="Arial" w:eastAsia="Arial" w:hAnsi="Arial"/>
          <w:b/>
          <w:bCs/>
          <w:color w:val="0F6E56"/>
          <w:sz w:val="28"/>
          <w:szCs w:val="28"/>
        </w:rPr>
        <w:t xml:space="preserve">Why This Has Not Existed Before</w:t>
      </w:r>
    </w:p>
    <w:p>
      <w:pPr>
        <w:spacing w:before="80" w:after="160"/>
      </w:pPr>
      <w:r>
        <w:rPr>
          <w:rFonts w:ascii="Arial" w:cs="Arial" w:eastAsia="Arial" w:hAnsi="Arial"/>
          <w:color w:val="444441"/>
          <w:sz w:val="24"/>
          <w:szCs w:val="24"/>
        </w:rPr>
        <w:t xml:space="preserve">A search of existing frameworks confirms that no prior proposal structures science and technology into a named, recurring annual calendar running March to February with:</w:t>
      </w:r>
    </w:p>
    <w:p>
      <w:pPr>
        <w:pStyle w:val="ListParagraph"/>
        <w:numPr>
          <w:ilvl w:val="0"/>
          <w:numId w:val="2"/>
        </w:numPr>
        <w:spacing w:before="60" w:after="60"/>
      </w:pPr>
      <w:r>
        <w:rPr>
          <w:rFonts w:ascii="Arial" w:cs="Arial" w:eastAsia="Arial" w:hAnsi="Arial"/>
          <w:color w:val="444441"/>
          <w:sz w:val="24"/>
          <w:szCs w:val="24"/>
        </w:rPr>
        <w:t xml:space="preserve">A fixed opening anchor tied to a science advocacy moment (#March4Science)</w:t>
      </w:r>
    </w:p>
    <w:p>
      <w:pPr>
        <w:pStyle w:val="ListParagraph"/>
        <w:numPr>
          <w:ilvl w:val="0"/>
          <w:numId w:val="2"/>
        </w:numPr>
        <w:spacing w:before="60" w:after="60"/>
      </w:pPr>
      <w:r>
        <w:rPr>
          <w:rFonts w:ascii="Arial" w:cs="Arial" w:eastAsia="Arial" w:hAnsi="Arial"/>
          <w:color w:val="444441"/>
          <w:sz w:val="24"/>
          <w:szCs w:val="24"/>
        </w:rPr>
        <w:t xml:space="preserve">A four-phase internal structure mirroring the logic of a fiscal year</w:t>
      </w:r>
    </w:p>
    <w:p>
      <w:pPr>
        <w:pStyle w:val="ListParagraph"/>
        <w:numPr>
          <w:ilvl w:val="0"/>
          <w:numId w:val="2"/>
        </w:numPr>
        <w:spacing w:before="60" w:after="60"/>
      </w:pPr>
      <w:r>
        <w:rPr>
          <w:rFonts w:ascii="Arial" w:cs="Arial" w:eastAsia="Arial" w:hAnsi="Arial"/>
          <w:color w:val="444441"/>
          <w:sz w:val="24"/>
          <w:szCs w:val="24"/>
        </w:rPr>
        <w:t xml:space="preserve">An explicit agenda-setting opening (analogous to a Budget Day for science)</w:t>
      </w:r>
    </w:p>
    <w:p>
      <w:pPr>
        <w:pStyle w:val="ListParagraph"/>
        <w:numPr>
          <w:ilvl w:val="0"/>
          <w:numId w:val="2"/>
        </w:numPr>
        <w:spacing w:before="60" w:after="60"/>
      </w:pPr>
      <w:r>
        <w:rPr>
          <w:rFonts w:ascii="Arial" w:cs="Arial" w:eastAsia="Arial" w:hAnsi="Arial"/>
          <w:color w:val="444441"/>
          <w:sz w:val="24"/>
          <w:szCs w:val="24"/>
        </w:rPr>
        <w:t xml:space="preserve">A formal year-end review and forecast close</w:t>
      </w:r>
    </w:p>
    <w:p>
      <w:pPr>
        <w:pStyle w:val="ListParagraph"/>
        <w:numPr>
          <w:ilvl w:val="0"/>
          <w:numId w:val="2"/>
        </w:numPr>
        <w:spacing w:before="60" w:after="60"/>
      </w:pPr>
      <w:r>
        <w:rPr>
          <w:rFonts w:ascii="Arial" w:cs="Arial" w:eastAsia="Arial" w:hAnsi="Arial"/>
          <w:color w:val="444441"/>
          <w:sz w:val="24"/>
          <w:szCs w:val="24"/>
        </w:rPr>
        <w:t xml:space="preserve">A named companion calendar (the Social-Political Year, SPY) proposed as part of a larger multi-calendar civilisational framework</w:t>
      </w:r>
    </w:p>
    <w:p>
      <w:pPr>
        <w:spacing w:before="120" w:after="0"/>
      </w:pPr>
    </w:p>
    <w:p>
      <w:pPr>
        <w:spacing w:before="80" w:after="160"/>
      </w:pPr>
      <w:r>
        <w:rPr>
          <w:rFonts w:ascii="Arial" w:cs="Arial" w:eastAsia="Arial" w:hAnsi="Arial"/>
          <w:color w:val="444441"/>
          <w:sz w:val="24"/>
          <w:szCs w:val="24"/>
        </w:rPr>
        <w:t xml:space="preserve">What exists in the world are scattered lists of STEM awareness days, government science &amp; technology policy frameworks (UK DSIT, South Africa Decadal Plan, India STI Policy), and regional expo calendars. None of these constitute a named annual calendar year with an opening declaration and a closing report.</w:t>
      </w:r>
    </w:p>
    <w:p>
      <w:pPr>
        <w:pBdr>
          <w:bottom w:val="single" w:color="9FE1CB" w:sz="6" w:space="1"/>
        </w:pBdr>
        <w:spacing w:before="200" w:after="200"/>
      </w:pPr>
    </w:p>
    <w:p>
      <w:pPr>
        <w:pStyle w:val="Heading2"/>
        <w:spacing w:before="240" w:after="120"/>
      </w:pPr>
      <w:r>
        <w:rPr>
          <w:rFonts w:ascii="Arial" w:cs="Arial" w:eastAsia="Arial" w:hAnsi="Arial"/>
          <w:b/>
          <w:bCs/>
          <w:color w:val="0F6E56"/>
          <w:sz w:val="28"/>
          <w:szCs w:val="28"/>
        </w:rPr>
        <w:t xml:space="preserve">Context: India's Multi-Calendar Civilisation</w:t>
      </w:r>
    </w:p>
    <w:p>
      <w:pPr>
        <w:spacing w:before="80" w:after="160"/>
      </w:pPr>
      <w:r>
        <w:rPr>
          <w:rFonts w:ascii="Arial" w:cs="Arial" w:eastAsia="Arial" w:hAnsi="Arial"/>
          <w:color w:val="444441"/>
          <w:sz w:val="24"/>
          <w:szCs w:val="24"/>
        </w:rPr>
        <w:t xml:space="preserve">This proposal emerges from the observation that India already lives by multiple simultaneous calendars — Financial, Academic, Ugadi/Luni-Solar, and Gregorian — each calibrated to a different domain of life. The STY extends this pluralist logic to science and technology, arguing that every major civilisational domain deserves its own temporal anchor, its own opening declaration, and its own accountability cycle.</w:t>
      </w:r>
    </w:p>
    <w:p>
      <w:pPr>
        <w:spacing w:before="80" w:after="160"/>
      </w:pPr>
      <w:r>
        <w:rPr>
          <w:rFonts w:ascii="Arial" w:cs="Arial" w:eastAsia="Arial" w:hAnsi="Arial"/>
          <w:color w:val="444441"/>
          <w:sz w:val="24"/>
          <w:szCs w:val="24"/>
        </w:rPr>
        <w:t xml:space="preserve">The Social-Political Year (SPY, May–April), proposed simultaneously by the same author, applies the same logic to civic and political life, opening on May Day (International Workers' Day).</w:t>
      </w:r>
    </w:p>
    <w:p>
      <w:pPr>
        <w:pBdr>
          <w:bottom w:val="single" w:color="9FE1CB" w:sz="6" w:space="1"/>
        </w:pBdr>
        <w:spacing w:before="200" w:after="200"/>
      </w:pPr>
    </w:p>
    <w:p>
      <w:pPr>
        <w:pStyle w:val="Heading2"/>
        <w:spacing w:before="240" w:after="120"/>
      </w:pPr>
      <w:r>
        <w:rPr>
          <w:rFonts w:ascii="Arial" w:cs="Arial" w:eastAsia="Arial" w:hAnsi="Arial"/>
          <w:b/>
          <w:bCs/>
          <w:color w:val="0F6E56"/>
          <w:sz w:val="28"/>
          <w:szCs w:val="28"/>
        </w:rPr>
        <w:t xml:space="preserve">Licence &amp; Citation</w:t>
      </w:r>
    </w:p>
    <w:p>
      <w:pPr>
        <w:pBdr>
          <w:top w:val="single" w:color="7F77DD" w:sz="4"/>
          <w:left w:val="single" w:color="7F77DD" w:sz="4"/>
          <w:bottom w:val="single" w:color="7F77DD" w:sz="4"/>
          <w:right w:val="single" w:color="7F77DD" w:sz="4"/>
        </w:pBdr>
        <w:shd w:fill="EEEDFE" w:val="clear"/>
        <w:spacing w:before="80" w:after="80"/>
      </w:pPr>
      <w:r>
        <w:rPr>
          <w:rFonts w:ascii="Arial" w:cs="Arial" w:eastAsia="Arial" w:hAnsi="Arial"/>
          <w:color w:val="444441"/>
          <w:sz w:val="22"/>
          <w:szCs w:val="22"/>
        </w:rPr>
        <w:t xml:space="preserve">© Guru Prasad Gajendran, Bengaluru, India. First published 26 March 2026.
</w:t>
      </w:r>
    </w:p>
    <w:p>
      <w:pPr>
        <w:spacing w:before="80" w:after="160"/>
      </w:pPr>
      <w:r>
        <w:rPr>
          <w:rFonts w:ascii="Arial" w:cs="Arial" w:eastAsia="Arial" w:hAnsi="Arial"/>
          <w:color w:val="444441"/>
          <w:sz w:val="24"/>
          <w:szCs w:val="24"/>
        </w:rPr>
        <w:t xml:space="preserve">This concept is shared under a </w:t>
      </w:r>
      <w:hyperlink w:history="1" r:id="rIdmyz5ih0exlpqexaagmmhd">
        <w:r>
          <w:rPr>
            <w:rFonts w:ascii="Arial" w:cs="Arial" w:eastAsia="Arial" w:hAnsi="Arial"/>
            <w:color w:val="185FA5"/>
            <w:sz w:val="24"/>
            <w:szCs w:val="24"/>
            <w:u w:val="single"/>
          </w:rPr>
          <w:t xml:space="preserve">Creative Commons Attribution 4.0 International Licence (CC BY 4.0)</w:t>
        </w:r>
      </w:hyperlink>
      <w:r>
        <w:rPr>
          <w:rFonts w:ascii="Arial" w:cs="Arial" w:eastAsia="Arial" w:hAnsi="Arial"/>
          <w:color w:val="444441"/>
          <w:sz w:val="24"/>
          <w:szCs w:val="24"/>
        </w:rPr>
        <w:t xml:space="preserve">. You are free to share, adapt, and build upon this idea as long as you credit the original author (Guru Prasad Gajendran) and link to the original publication date (26 March 2026).</w:t>
      </w:r>
    </w:p>
    <w:p>
      <w:pPr>
        <w:spacing w:before="80" w:after="160"/>
      </w:pPr>
      <w:r>
        <w:rPr>
          <w:rFonts w:ascii="Arial" w:cs="Arial" w:eastAsia="Arial" w:hAnsi="Arial"/>
          <w:b/>
          <w:bCs/>
          <w:color w:val="444441"/>
          <w:sz w:val="24"/>
          <w:szCs w:val="24"/>
        </w:rPr>
        <w:t xml:space="preserve">To cite this work:</w:t>
      </w:r>
    </w:p>
    <w:p>
      <w:pPr>
        <w:spacing w:before="60" w:after="160"/>
        <w:ind w:left="720"/>
      </w:pPr>
      <w:r>
        <w:rPr>
          <w:rFonts w:ascii="Arial" w:cs="Arial" w:eastAsia="Arial" w:hAnsi="Arial"/>
          <w:i/>
          <w:iCs/>
          <w:color w:val="444441"/>
          <w:sz w:val="22"/>
          <w:szCs w:val="22"/>
        </w:rPr>
        <w:t xml:space="preserve">Gajendran, Guru Prasad. (2026, March 26). </w:t>
      </w:r>
      <w:r>
        <w:rPr>
          <w:rFonts w:ascii="Arial" w:cs="Arial" w:eastAsia="Arial" w:hAnsi="Arial"/>
          <w:color w:val="444441"/>
          <w:sz w:val="22"/>
          <w:szCs w:val="22"/>
        </w:rPr>
        <w:t xml:space="preserve">The Sci-Tech Year (STY): A Proposed Annual Calendar for Science &amp; Technology, March–February. </w:t>
      </w:r>
      <w:hyperlink w:history="1" r:id="rIdl_jml0ng71hguegpp0nrc">
        <w:r>
          <w:rPr>
            <w:rFonts w:ascii="Arial" w:cs="Arial" w:eastAsia="Arial" w:hAnsi="Arial"/>
            <w:color w:val="185FA5"/>
            <w:sz w:val="24"/>
            <w:szCs w:val="24"/>
            <w:u w:val="single"/>
          </w:rPr>
          <w:t xml:space="preserve">https://grpvcare2dare.design.blog/2026/03/26/s1604-the-sci-tech-year-sty-a-proposed-annual-calendar-for-science-technology-march-february/</w:t>
        </w:r>
      </w:hyperlink>
    </w:p>
    <w:p>
      <w:pPr>
        <w:pBdr>
          <w:bottom w:val="single" w:color="9FE1CB" w:sz="6" w:space="1"/>
        </w:pBdr>
        <w:spacing w:before="200" w:after="200"/>
      </w:pPr>
    </w:p>
    <w:p>
      <w:pPr>
        <w:pStyle w:val="Heading2"/>
        <w:spacing w:before="240" w:after="120"/>
      </w:pPr>
      <w:r>
        <w:rPr>
          <w:rFonts w:ascii="Arial" w:cs="Arial" w:eastAsia="Arial" w:hAnsi="Arial"/>
          <w:b/>
          <w:bCs/>
          <w:color w:val="0F6E56"/>
          <w:sz w:val="28"/>
          <w:szCs w:val="28"/>
        </w:rPr>
        <w:t xml:space="preserve">About the Author</w:t>
      </w:r>
    </w:p>
    <w:p>
      <w:pPr>
        <w:spacing w:before="80" w:after="160"/>
      </w:pPr>
      <w:r>
        <w:rPr>
          <w:rFonts w:ascii="Arial" w:cs="Arial" w:eastAsia="Arial" w:hAnsi="Arial"/>
          <w:color w:val="444441"/>
          <w:sz w:val="24"/>
          <w:szCs w:val="24"/>
        </w:rPr>
        <w:t xml:space="preserve">Guru Prasad Gajendran is a Bengaluru-based thinker and designer. </w:t>
      </w:r>
      <w:hyperlink w:history="1" r:id="rId2rthqft3hylrsgvf5-k3f">
        <w:r>
          <w:rPr>
            <w:rFonts w:ascii="Arial" w:cs="Arial" w:eastAsia="Arial" w:hAnsi="Arial"/>
            <w:color w:val="185FA5"/>
            <w:sz w:val="24"/>
            <w:szCs w:val="24"/>
            <w:u w:val="single"/>
          </w:rPr>
          <w:t xml:space="preserve">Read his full story here.</w:t>
        </w:r>
      </w:hyperlink>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444441"/>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20" w:after="160"/>
      <w:outlineLvl w:val="0"/>
    </w:pPr>
    <w:rPr>
      <w:rFonts w:ascii="Arial" w:cs="Arial" w:eastAsia="Arial" w:hAnsi="Arial"/>
      <w:b/>
      <w:bCs/>
      <w:color w:val="3C3489"/>
      <w:sz w:val="36"/>
      <w:szCs w:val="36"/>
    </w:rPr>
  </w:style>
  <w:style w:type="paragraph" w:styleId="Heading2">
    <w:name w:val="Heading 2"/>
    <w:basedOn w:val="Normal"/>
    <w:next w:val="Normal"/>
    <w:qFormat/>
    <w:pPr>
      <w:spacing w:before="240" w:after="120"/>
      <w:outlineLvl w:val="1"/>
    </w:pPr>
    <w:rPr>
      <w:rFonts w:ascii="Arial" w:cs="Arial" w:eastAsia="Arial" w:hAnsi="Arial"/>
      <w:b/>
      <w:bCs/>
      <w:color w:val="0F6E56"/>
      <w:sz w:val="28"/>
      <w:szCs w:val="28"/>
    </w:rPr>
  </w:style>
  <w:style w:type="paragraph" w:styleId="Heading3">
    <w:name w:val="Heading 3"/>
    <w:basedOn w:val="Normal"/>
    <w:next w:val="Normal"/>
    <w:qFormat/>
    <w:pPr>
      <w:spacing w:before="180" w:after="80"/>
      <w:outlineLvl w:val="2"/>
    </w:pPr>
    <w:rPr>
      <w:rFonts w:ascii="Arial" w:cs="Arial" w:eastAsia="Arial" w:hAnsi="Arial"/>
      <w:b/>
      <w:bCs/>
      <w:color w:val="444441"/>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f9eepjnbtil2uhzwwv57j" Type="http://schemas.openxmlformats.org/officeDocument/2006/relationships/hyperlink" Target="http://grpvcare2dare.design.blog/2020/12/02/grps-story-in-one-page/" TargetMode="External"/><Relationship Id="rIdo7vgoom9gbtf4ptuj-a8b" Type="http://schemas.openxmlformats.org/officeDocument/2006/relationships/hyperlink" Target="https://grpvcare2dare.design.blog/2026/03/26/s1604-the-sci-tech-year-sty-a-proposed-annual-calendar-for-science-technology-march-february/" TargetMode="External"/><Relationship Id="rIdmyz5ih0exlpqexaagmmhd" Type="http://schemas.openxmlformats.org/officeDocument/2006/relationships/hyperlink" Target="https://creativecommons.org/licenses/by/4.0/" TargetMode="External"/><Relationship Id="rIdl_jml0ng71hguegpp0nrc" Type="http://schemas.openxmlformats.org/officeDocument/2006/relationships/hyperlink" Target="https://grpvcare2dare.design.blog/2026/03/26/s1604-the-sci-tech-year-sty-a-proposed-annual-calendar-for-science-technology-march-february/" TargetMode="External"/><Relationship Id="rId2rthqft3hylrsgvf5-k3f" Type="http://schemas.openxmlformats.org/officeDocument/2006/relationships/hyperlink" Target="http://grpvcare2dare.design.blog/2020/12/02/grps-story-in-one-page/" TargetMode="External"/><Relationship Id="rId11"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2026-03-26T01:46:40.979Z</dcterms:created>
  <dcterms:modified xsi:type="dcterms:W3CDTF">2026-03-26T01:46:40.980Z</dcterms:modified>
</cp:coreProperties>
</file>

<file path=docProps/custom.xml><?xml version="1.0" encoding="utf-8"?>
<Properties xmlns="http://schemas.openxmlformats.org/officeDocument/2006/custom-properties" xmlns:vt="http://schemas.openxmlformats.org/officeDocument/2006/docPropsVTypes"/>
</file>